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72" w:beforeAutospacing="0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0pt;mso-position-horizontal:absolute;mso-position-vertical-relative:text;margin-top:0.00pt;mso-position-vertical:absolute;width:56.10pt;height:66.35pt;mso-wrap-distance-left:9.00pt;mso-wrap-distance-top:0.00pt;mso-wrap-distance-right:9.00pt;mso-wrap-distance-bottom:0.00pt;rotation:0;" stroked="f" strokeweight="0.75pt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>
        <w:rPr>
          <w:color w:val="auto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center"/>
        <w:spacing w:before="204"/>
        <w:rPr>
          <w:color w:val="auto"/>
          <w:highlight w:val="none"/>
        </w:rPr>
      </w:pPr>
      <w:r>
        <w:rPr>
          <w:b/>
          <w:bCs/>
          <w:color w:val="auto"/>
          <w:spacing w:val="45"/>
          <w:sz w:val="36"/>
          <w:szCs w:val="36"/>
          <w:highlight w:val="none"/>
        </w:rPr>
        <w:t xml:space="preserve">ПОСТАНОВЛЕНИЕ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20"/>
          <w:highlight w:val="none"/>
        </w:rPr>
        <w:tab/>
      </w:r>
      <w:r>
        <w:rPr>
          <w:color w:val="auto"/>
          <w:sz w:val="20"/>
          <w:highlight w:val="none"/>
        </w:rPr>
        <w:t xml:space="preserve">_____________________</w:t>
      </w:r>
      <w:r>
        <w:rPr>
          <w:color w:val="auto"/>
          <w:sz w:val="20"/>
          <w:highlight w:val="none"/>
        </w:rPr>
        <w:tab/>
        <w:t xml:space="preserve">№ _________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20"/>
          <w:highlight w:val="none"/>
        </w:rPr>
        <w:t xml:space="preserve">г. Биробиджан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auto"/>
          <w:highlight w:val="none"/>
        </w:rPr>
      </w:pPr>
      <w:r>
        <w:rPr>
          <w:color w:val="auto"/>
          <w:sz w:val="32"/>
          <w:highlight w:val="none"/>
        </w:rPr>
        <w:t xml:space="preserve">⌐</w:t>
      </w:r>
      <w:r>
        <w:rPr>
          <w:color w:val="auto"/>
          <w:szCs w:val="28"/>
          <w:highlight w:val="none"/>
        </w:rPr>
        <w:tab/>
      </w:r>
      <w:r>
        <w:rPr>
          <w:color w:val="auto"/>
          <w:szCs w:val="28"/>
          <w:highlight w:val="none"/>
        </w:rPr>
        <w:tab/>
      </w:r>
      <w:r>
        <w:rPr>
          <w:color w:val="auto"/>
          <w:sz w:val="32"/>
          <w:highlight w:val="none"/>
        </w:rPr>
        <w:t xml:space="preserve">¬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2024 – 202</w:t>
      </w:r>
      <w:r>
        <w:rPr>
          <w:color w:val="auto"/>
          <w:szCs w:val="28"/>
          <w:highlight w:val="none"/>
        </w:rPr>
        <w:t xml:space="preserve">8</w:t>
      </w:r>
      <w:r>
        <w:rPr>
          <w:color w:val="auto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612-пп </w:t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/>
        <w:jc w:val="both"/>
        <w:rPr>
          <w:color w:val="auto"/>
          <w:highlight w:val="none"/>
        </w:rPr>
      </w:pPr>
      <w:r>
        <w:rPr>
          <w:color w:val="auto"/>
          <w:szCs w:val="28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709"/>
        <w:jc w:val="both"/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Правительство Еврейской автономной области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0"/>
        <w:jc w:val="both"/>
        <w:tabs>
          <w:tab w:val="left" w:pos="0" w:leader="none"/>
        </w:tabs>
        <w:rPr>
          <w:color w:val="auto"/>
          <w:szCs w:val="28"/>
          <w:highlight w:val="none"/>
        </w:rPr>
      </w:pPr>
      <w:r>
        <w:rPr>
          <w:color w:val="auto"/>
          <w:szCs w:val="28"/>
          <w:highlight w:val="none"/>
        </w:rPr>
        <w:t xml:space="preserve">ПОСТАНОВЛЯЕТ:</w:t>
      </w:r>
      <w:r>
        <w:rPr>
          <w:color w:val="auto"/>
          <w:szCs w:val="28"/>
          <w:highlight w:val="none"/>
        </w:rPr>
      </w:r>
      <w:r>
        <w:rPr>
          <w:color w:val="auto"/>
          <w:szCs w:val="28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highlight w:val="none"/>
        </w:rPr>
      </w:pPr>
      <w:r>
        <w:rPr>
          <w:color w:val="auto"/>
          <w:szCs w:val="28"/>
          <w:highlight w:val="none"/>
        </w:rPr>
        <w:t xml:space="preserve">1. Внести в государственную </w:t>
      </w:r>
      <w:hyperlink r:id="rId20" w:tooltip="consultantplus://offline/ref=9E21B56BB2B4639EB2725FD29D2631053A054AA5EEC82011ABB4E340BD0C06410DCB4B9B8243E2BE4CEF35wE26G" w:history="1">
        <w:r>
          <w:rPr>
            <w:color w:val="auto"/>
            <w:szCs w:val="28"/>
            <w:highlight w:val="none"/>
          </w:rPr>
          <w:t xml:space="preserve">программу</w:t>
        </w:r>
      </w:hyperlink>
      <w:r>
        <w:rPr>
          <w:color w:val="auto"/>
          <w:highlight w:val="none"/>
        </w:rPr>
        <w:t xml:space="preserve"> </w:t>
      </w:r>
      <w:r>
        <w:rPr>
          <w:color w:val="auto"/>
          <w:szCs w:val="28"/>
          <w:highlight w:val="none"/>
        </w:rPr>
        <w:t xml:space="preserve">Еврейской автономной области «Развитие сети автомобильных дорог Еврейской автономной области» на 2024 – 202</w:t>
      </w:r>
      <w:r>
        <w:rPr>
          <w:color w:val="auto"/>
          <w:szCs w:val="28"/>
          <w:highlight w:val="none"/>
        </w:rPr>
        <w:t xml:space="preserve">8</w:t>
      </w:r>
      <w:r>
        <w:rPr>
          <w:color w:val="auto"/>
          <w:szCs w:val="28"/>
          <w:highlight w:val="none"/>
        </w:rPr>
        <w:t xml:space="preserve"> годы, утвержденную постановлением правительства Еврейской автономной области </w:t>
      </w:r>
      <w:r>
        <w:rPr>
          <w:color w:val="auto"/>
          <w:szCs w:val="28"/>
          <w:highlight w:val="none"/>
        </w:rPr>
        <w:t xml:space="preserve">26.12.2023 № 612-пп </w:t>
      </w:r>
      <w:r>
        <w:rPr>
          <w:color w:val="auto"/>
          <w:szCs w:val="28"/>
          <w:highlight w:val="none"/>
        </w:rPr>
        <w:t xml:space="preserve">«О государственной программе Еврейской автономной области «Развитие сети автомобильных дорог Еврейской автономной области» на 2024 – 2028</w:t>
      </w:r>
      <w:r>
        <w:rPr>
          <w:color w:val="auto"/>
          <w:szCs w:val="28"/>
          <w:highlight w:val="none"/>
        </w:rPr>
        <w:t xml:space="preserve"> годы», следующие </w:t>
      </w:r>
      <w:r>
        <w:rPr>
          <w:color w:val="auto"/>
          <w:szCs w:val="28"/>
          <w:highlight w:val="none"/>
        </w:rPr>
        <w:t xml:space="preserve">изменения: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67"/>
        <w:ind w:firstLine="709"/>
        <w:jc w:val="both"/>
        <w:outlineLvl w:val="1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1.1. </w:t>
      </w:r>
      <w:r>
        <w:rPr>
          <w:b w:val="0"/>
          <w:bCs w:val="0"/>
          <w:sz w:val="28"/>
          <w:szCs w:val="28"/>
          <w:highlight w:val="none"/>
        </w:rPr>
        <w:t xml:space="preserve"> В разделе «Паспорт государственной программы»:</w:t>
      </w:r>
      <w:r/>
    </w:p>
    <w:p>
      <w:pPr>
        <w:pStyle w:val="1067"/>
        <w:ind w:firstLine="709"/>
        <w:jc w:val="both"/>
        <w:rPr>
          <w:b w:val="0"/>
          <w:bCs w:val="0"/>
          <w:sz w:val="28"/>
          <w:szCs w:val="28"/>
          <w:highlight w:val="none"/>
        </w:rPr>
        <w:outlineLvl w:val="1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</w:t>
      </w:r>
      <w:r>
        <w:rPr>
          <w:b w:val="0"/>
          <w:bCs w:val="0"/>
          <w:sz w:val="28"/>
          <w:szCs w:val="28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b w:val="0"/>
          <w:bCs w:val="0"/>
          <w:sz w:val="28"/>
          <w:szCs w:val="28"/>
          <w:highlight w:val="none"/>
        </w:rPr>
        <w:t xml:space="preserve">сле по годам» подраздела 1 «Основные положения»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68"/>
        <w:ind w:firstLine="709"/>
        <w:jc w:val="center"/>
        <w:rPr>
          <w:szCs w:val="28"/>
          <w:highlight w:val="none"/>
        </w:rPr>
        <w:outlineLvl w:val="0"/>
      </w:pPr>
      <w:r>
        <w:rPr>
          <w:szCs w:val="28"/>
          <w:highlight w:val="none"/>
        </w:rPr>
        <w:t xml:space="preserve">                                     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blPrEx/>
        <w:trPr/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бразований, внебюджетных средств на реализацию целей государственной программы, 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8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680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Общий объем финансирования государственной программы     за     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     годы     составляет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10 463 616,05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   счет     средств       областного      бюджета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7 749 761,15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числе, по годам: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1 170779,22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ind w:left="0" w:firstLine="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1 561 858,22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1 597 826,81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1 707 877,8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1 711 419,1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;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       счет     средств       федерального        бюджета 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2 697 505,60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 по годам: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43660,70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920 256,40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781 028,50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300 000,0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652 560,0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 счет средств местных бюджетов </w:t>
            </w:r>
            <w:r>
              <w:rPr>
                <w:sz w:val="28"/>
                <w:szCs w:val="28"/>
                <w:highlight w:val="none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                             16 343,30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тыс. рублей, в том числе по годам: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- 2024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1 986,80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- 2025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3 202,50 тыс. рублей;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- 2026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3 674,80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- 2027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3 742,6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;</w:t>
              </w:r>
              <w:r>
                <w:rPr>
                  <w:color w:val="000000" w:themeColor="text1"/>
                  <w:sz w:val="28"/>
                  <w:szCs w:val="28"/>
                  <w:highlight w:val="none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1068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- 202</w:t>
            </w:r>
            <w:r>
              <w:rPr>
                <w:color w:val="000000" w:themeColor="text1"/>
                <w:sz w:val="28"/>
                <w:szCs w:val="28"/>
                <w:highlight w:val="none"/>
                <w:lang w:val="ru-RU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год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3 742,6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тыс. рублей</w:t>
            </w:r>
            <w:hyperlink w:tooltip="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" w:anchor="P173" w:history="1">
              <w:r>
                <w:rPr>
                  <w:color w:val="000000" w:themeColor="text1"/>
                  <w:sz w:val="28"/>
                  <w:szCs w:val="28"/>
                  <w:highlight w:val="none"/>
                </w:rPr>
                <w:t xml:space="preserve">*</w:t>
              </w:r>
            </w:hyperlink>
            <w:r>
              <w:rPr>
                <w:szCs w:val="28"/>
                <w:highlight w:val="none"/>
              </w:rPr>
              <w:t xml:space="preserve">»</w:t>
            </w:r>
            <w:r>
              <w:rPr>
                <w:highlight w:val="none"/>
                <w:lang w:val="ru-RU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1068"/>
        <w:ind w:firstLine="540"/>
        <w:jc w:val="both"/>
        <w:spacing w:before="20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pStyle w:val="1068"/>
        <w:ind w:firstLine="0"/>
        <w:jc w:val="both"/>
        <w:spacing w:before="20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68"/>
        <w:ind w:firstLine="540"/>
        <w:jc w:val="both"/>
        <w:spacing w:before="200"/>
        <w:rPr>
          <w:highlight w:val="none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0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-57" w:firstLine="709"/>
        <w:jc w:val="left"/>
        <w:rPr>
          <w:highlight w:val="none"/>
        </w:rPr>
      </w:pPr>
      <w:r>
        <w:rPr>
          <w:highlight w:val="none"/>
        </w:rPr>
        <w:t xml:space="preserve"> - в подразделе 4 «Финансовое обеспечение государственной программы» </w:t>
      </w:r>
      <w:r>
        <w:rPr>
          <w:highlight w:val="none"/>
        </w:rPr>
        <w:t xml:space="preserve"> подраздел 4.1 «Финансовое обеспечение государственной программы за счет средств областного бюджета»</w:t>
      </w:r>
      <w: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57" w:firstLine="709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-57" w:firstLine="0"/>
        <w:jc w:val="center"/>
        <w:rPr>
          <w:highlight w:val="none"/>
        </w:rPr>
      </w:pPr>
      <w:r>
        <w:rPr>
          <w:highlight w:val="none"/>
        </w:rPr>
        <w:t xml:space="preserve">«4.1. </w:t>
      </w:r>
      <w:r>
        <w:rPr>
          <w:highlight w:val="none"/>
        </w:rPr>
        <w:t xml:space="preserve">Финансовое обеспечение государственной программы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за счет средств областного бюджета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W w:w="1516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709"/>
        <w:gridCol w:w="567"/>
        <w:gridCol w:w="709"/>
        <w:gridCol w:w="1276"/>
        <w:gridCol w:w="1417"/>
        <w:gridCol w:w="1559"/>
        <w:gridCol w:w="1417"/>
        <w:gridCol w:w="1559"/>
        <w:gridCol w:w="1417"/>
        <w:gridCol w:w="1"/>
      </w:tblGrid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068"/>
              <w:ind w:left="0" w:right="-123" w:firstLine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Наименование государственной программы, подпрограммы, структурного элемента  мероприятия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Ответственный исполнитель, соисполнители, участники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Код бюджетной классификации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5" w:type="dxa"/>
            <w:vAlign w:val="top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Объем финансового обеспечения по годам реализации,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jc w:val="center"/>
              <w:spacing w:line="216" w:lineRule="auto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тыс. рублей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gridAfter w:val="1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ГРБС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РзПр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ЦСР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2024 год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2025 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2027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2028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год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</w:tbl>
    <w:tbl>
      <w:tblPr>
        <w:tblW w:w="15166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708"/>
        <w:gridCol w:w="567"/>
        <w:gridCol w:w="709"/>
        <w:gridCol w:w="1276"/>
        <w:gridCol w:w="1417"/>
        <w:gridCol w:w="1559"/>
        <w:gridCol w:w="1417"/>
        <w:gridCol w:w="1559"/>
        <w:gridCol w:w="1418"/>
      </w:tblGrid>
      <w:tr>
        <w:tblPrEx/>
        <w:trPr>
          <w:trHeight w:val="201"/>
          <w:tblHeader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val="ru-RU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11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359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2024 – 2028 годы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ind w:left="-51" w:right="-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7 749 761,15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1 170 779,22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1 561 858,22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1 597 826,81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1 707 877,8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1 711 419,1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ind w:left="-51" w:right="-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5 917 984,55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933 008,62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1 203 729,62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1 192 945,31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1 293 455,5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1 294 845,5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Муниципальные образования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1 618 583,40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196 692,10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317 050,10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363 803,00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068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«Региональная и местная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3 625 902,8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579 552,7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733 323,9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794 416,2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8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Муниципальное образование «Город Биробиджан»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1 618 583,4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196 692,1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317 050,1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363 803,0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3 261 309,4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327 452,7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687 925,3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738 411,1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747 520,3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760 000,0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35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86 006,0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43 390,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31 526,0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11 089,7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км 130 – км 137»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.2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49 – км 55»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124 859,8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124 859,8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1 515,2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1 515,2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330 745,6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297 452,7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33 292,9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25 282,3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25 282,3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239 227,7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81 951,1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49 276,6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28 831,4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18 108,0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10 723,4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с. Нижнеленинское,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0 – км 6»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 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166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191»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545 443,3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240 554,8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304 888,5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306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30 377,1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20 802,6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9 574,5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 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38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45»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137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157»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231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мостового сооружения через р. Щукинка 3-я на км 32+289 автомобильной дороги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«Капитальный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157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166»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области, муниципальное образование «Город Биробиджан»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1 618 583,4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196 692,1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317 050,1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363 803,0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274 560,9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252 100,0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22 460,9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840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4 026,5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2 008,3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2 018,2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еконструкция мостового перехода  через реку Мокрый Лог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br/>
              <w:t xml:space="preserve">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Амурзет»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101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Ульдура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1 213,5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1 213,5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07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Ушумун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22 460,9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22 460,9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2"/>
        </w:trPr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2018,2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2018,2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3.4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онструкция мостового перехода через ручей 15+346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Головино»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53940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2 050 626,0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347 955,4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1 334 524,0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195 446,1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94"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е»  с. Бабстово Ленинского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54"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296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546"/>
        </w:trPr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35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830"/>
        </w:trPr>
        <w:tc>
          <w:tcPr>
            <w:tcW w:w="2835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002"/>
        </w:trPr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none"/>
              </w:rPr>
              <w:t xml:space="preserve">»</w:t>
            </w:r>
            <w:r>
              <w:rPr>
                <w:sz w:val="18"/>
                <w:szCs w:val="18"/>
                <w:highlight w:val="none"/>
                <w:lang w:val="ru-RU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jc w:val="center"/>
        <w:shd w:val="nil" w:color="000000"/>
        <w:rPr>
          <w:b w:val="0"/>
          <w:bCs w:val="0"/>
          <w:color w:val="000000" w:themeColor="text1"/>
          <w:sz w:val="18"/>
          <w:szCs w:val="18"/>
          <w:highlight w:val="white"/>
        </w:rPr>
      </w:pPr>
      <w:r>
        <w:rPr>
          <w:b w:val="0"/>
          <w:bCs w:val="0"/>
          <w:color w:val="000000" w:themeColor="text1"/>
          <w:sz w:val="18"/>
          <w:szCs w:val="18"/>
          <w:highlight w:val="white"/>
        </w:rPr>
      </w:r>
      <w:r>
        <w:rPr>
          <w:b w:val="0"/>
          <w:bCs w:val="0"/>
          <w:color w:val="000000" w:themeColor="text1"/>
          <w:sz w:val="18"/>
          <w:szCs w:val="18"/>
          <w:highlight w:val="white"/>
        </w:rPr>
      </w:r>
      <w:r>
        <w:rPr>
          <w:b w:val="0"/>
          <w:bCs w:val="0"/>
          <w:color w:val="000000" w:themeColor="text1"/>
          <w:sz w:val="18"/>
          <w:szCs w:val="18"/>
          <w:highlight w:val="white"/>
        </w:rPr>
      </w:r>
    </w:p>
    <w:p>
      <w:pPr>
        <w:ind w:left="0" w:right="-57" w:firstLine="709"/>
        <w:jc w:val="both"/>
        <w:rPr>
          <w:color w:val="000000" w:themeColor="text1"/>
          <w:highlight w:val="whit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- в подразделе 4 «Финансовое обеспечение государственной программы»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подраздел 4.2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«Финансовое обеспечение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государственной программы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за счет средств областного бюджета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и прогнозная оценка привлекаемых на реализацию ее целей средств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федерального бюджета, бюджетов муниципальных образований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области, внебюджетных источников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center"/>
        <w:shd w:val="nil" w:color="000000"/>
        <w:rPr>
          <w:color w:val="000000" w:themeColor="text1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-57" w:firstLine="0"/>
        <w:jc w:val="center"/>
        <w:shd w:val="nil" w:color="000000"/>
        <w:rPr>
          <w:color w:val="000000" w:themeColor="text1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«4.2. Финансовое обеспечение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государственной программы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за счет средств областного бюджета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и прогнозная оценка привлекаемых на реализацию ее целей средств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федерального бюджета, бюджетов муниципальных образований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области, внебюджетных источников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center"/>
        <w:shd w:val="nil" w:color="000000"/>
        <w:rPr>
          <w:color w:val="000000" w:themeColor="text1"/>
          <w:highlight w:val="white"/>
        </w:rPr>
      </w:pPr>
      <w:r>
        <w:rPr>
          <w:b w:val="0"/>
          <w:bCs w:val="0"/>
          <w:color w:val="000000" w:themeColor="text1"/>
          <w:sz w:val="18"/>
          <w:szCs w:val="18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701"/>
        <w:gridCol w:w="1701"/>
        <w:gridCol w:w="1701"/>
        <w:gridCol w:w="1559"/>
        <w:gridCol w:w="1701"/>
        <w:gridCol w:w="1700"/>
      </w:tblGrid>
      <w:tr>
        <w:tblPrEx/>
        <w:trPr>
          <w:gridAfter w:val="6"/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Наименование государственной программы, подпрограммы,  структурного элемента, мероприятия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Источники финансового обеспечения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6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Объем финансового обеспечения по годам реализации, тыс. рублей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2024 год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2025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год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2026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год*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год*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год*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pStyle w:val="1068"/>
        <w:jc w:val="center"/>
        <w:rPr>
          <w:b w:val="0"/>
          <w:bCs w:val="0"/>
          <w:color w:val="000000" w:themeColor="text1"/>
          <w:sz w:val="18"/>
          <w:szCs w:val="18"/>
          <w:highlight w:val="white"/>
        </w:rPr>
        <w:sectPr>
          <w:headerReference w:type="default" r:id="rId11"/>
          <w:headerReference w:type="first" r:id="rId12"/>
          <w:footerReference w:type="default" r:id="rId16"/>
          <w:footerReference w:type="first" r:id="rId17"/>
          <w:footnotePr/>
          <w:endnotePr/>
          <w:type w:val="continuous"/>
          <w:pgSz w:w="16838" w:h="11905" w:orient="landscape"/>
          <w:pgMar w:top="1701" w:right="850" w:bottom="1134" w:left="1701" w:header="567" w:footer="501" w:gutter="0"/>
          <w:pgNumType w:start="2"/>
          <w:cols w:num="1" w:sep="0" w:space="720" w:equalWidth="1"/>
          <w:docGrid w:linePitch="360"/>
        </w:sectPr>
      </w:pPr>
      <w:r>
        <w:rPr>
          <w:b w:val="0"/>
          <w:bCs w:val="0"/>
          <w:color w:val="000000" w:themeColor="text1"/>
          <w:sz w:val="18"/>
          <w:szCs w:val="18"/>
          <w:highlight w:val="white"/>
        </w:rPr>
      </w:r>
      <w:r>
        <w:rPr>
          <w:b w:val="0"/>
          <w:bCs w:val="0"/>
          <w:color w:val="000000" w:themeColor="text1"/>
          <w:sz w:val="18"/>
          <w:szCs w:val="18"/>
          <w:highlight w:val="white"/>
        </w:rPr>
      </w:r>
      <w:r>
        <w:rPr>
          <w:b w:val="0"/>
          <w:bCs w:val="0"/>
          <w:color w:val="000000" w:themeColor="text1"/>
          <w:sz w:val="18"/>
          <w:szCs w:val="18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7"/>
        <w:gridCol w:w="2125"/>
        <w:gridCol w:w="1701"/>
        <w:gridCol w:w="1701"/>
        <w:gridCol w:w="1701"/>
        <w:gridCol w:w="1559"/>
        <w:gridCol w:w="1701"/>
        <w:gridCol w:w="1701"/>
      </w:tblGrid>
      <w:tr>
        <w:tblPrEx/>
        <w:trPr>
          <w:trHeight w:val="137"/>
          <w:tblHeader/>
        </w:trPr>
        <w:tc>
          <w:tcPr>
            <w:tcW w:w="2977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59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Государственная программа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2024 – 2028 годы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10 463 616,05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1 216 426,72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2 485 317,12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2 382 530,11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2 011 620,4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2 367 721,7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2 697 505,60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920 256,40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781 028,50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7 749 761,15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1 170 779,22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1 561 858,22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1 597 826,81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1 707 877,8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1 711 419,1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443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16 349,30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1 986,80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3 674,80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Региональный проект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«Региональная и местная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дорожная сеть»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7 783 698,2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778 231,6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1 930 172,2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1 855 601,0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1 432 871,7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1 786 821,7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2 522 862,7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876 595,7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693 707,0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5 244 486,2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776 244,8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1 050 374,0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1 158 219,2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1 129 129,1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1 130 519,1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16 349,3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1 986,8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3 674,8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5 473 562,6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327 452,7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1 411 095,8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1 263 844,1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1 412 560,0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2 126 247,2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679 780,2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493 907,0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3 347 315,4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327 452,7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731 315,6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769 937,1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758 610,0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 и Октябрьском районах,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shd w:val="clear" w:color="ffffff" w:themeColor="background1" w:fill="ffffff" w:themeFill="background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км 130 – км 137»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317 772,0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49 – км 55»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126 375,0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 w:righ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752 116,4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297 452,7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454 663,7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396 088,5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396 088,5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356 027,9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297 452,7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58 575,2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7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611 750,8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383 750,8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228 000,0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451 691,7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283 691,7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168 000,0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160 059,1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100 059,1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9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с. Нижнеленинское,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0 – км 6»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448 579,7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 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166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191»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1 051 727,4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587 264,4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464 463,0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475 907,0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325 907,0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575 820,4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261 357,4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314 463,0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 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км 38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45»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352 560,0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137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157»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572 681,3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мостового сооружения через р. Щукинка 3-я на км 32+289 автомобильной дороги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Унгун – Ленинское»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ind w:left="0" w:right="-56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Амурзет,                                              км  157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км 166»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1 634 932,7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198 678,9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320 252,6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367 477,8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374 261,7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374 261,7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1 618 583,4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196 692,1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317 050,1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363 803,0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16 349,3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1 986,8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3 202,5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3 674,8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3 742,6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675 202,9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198 823,8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224 279,1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396 615,5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196 815,5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199 800,0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278 587,4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252 100,0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2 008,3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24 479,1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еконструкция мостового перехода  через реку Мокрый Лог на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br/>
              <w:t xml:space="preserve">км 180+600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Биробиджан – Амурзет»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Ульдура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121 349,0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121 349,0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120 135,5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120 135,5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1 213,5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1 213,5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«Реконструкция мостового перехода через реку Ушумун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Ленинское»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224 279,1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224 279,1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199 800,0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199 800,0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24 479,1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24 479,1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3.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онструкция мостового перехода через ручей 15+346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автомобильной дороги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Головино»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77 474,8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77 474,8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76 680,0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76 680,0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794,8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2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Улучшение инженерного обустройства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2 050 626,0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347 955,4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90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2 050 626,0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347 955,4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489 845,5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одержание региональных автомобильных дорог и искусственных сооружений на них»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1 334 524,0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195 446,1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8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1 334 524,0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195 446,1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pStyle w:val="10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-198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Ремонт автомобильных дорог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-198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общего пользования регионального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-198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и местного значения и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ind w:left="0" w:right="-198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искусственных сооружений на ни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х»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2.1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Унгун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Ленинское»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с. Бабстово Ленинского муниципального района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73 761,9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22 663,8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         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Возме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642 340,1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Изготовление проектной докумен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тации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на объекты ремонта, капитального ремонта и реконструкции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«Содействие подведомствен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«Автодорпроектконтроль»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5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213 193,2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41 078,5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46 054,5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181 098,65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92 895,21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174 642,90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87 321,50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239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М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ероприятие 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106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Строительство автомобильной дороги до площадки «ДВ КВАРТАЛ» (ТОР «Амуро-Хинганская»)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181 098,65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44 101,72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92 895,21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174 642,90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43 660,70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87 321,50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pStyle w:val="1068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6 455,75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5 573,71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  <w:tr>
        <w:tblPrEx/>
        <w:trPr>
          <w:trHeight w:val="137"/>
        </w:trPr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none"/>
              </w:rPr>
              <w:t xml:space="preserve">»</w:t>
            </w:r>
            <w:r>
              <w:rPr>
                <w:sz w:val="18"/>
                <w:szCs w:val="18"/>
                <w:highlight w:val="none"/>
                <w:lang w:val="ru-RU"/>
              </w:rPr>
              <w:t xml:space="preserve">;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</w:p>
        </w:tc>
      </w:tr>
    </w:tbl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color w:val="000000" w:themeColor="text1"/>
          <w:sz w:val="18"/>
          <w:szCs w:val="18"/>
          <w:highlight w:val="none"/>
        </w:rPr>
      </w:pPr>
      <w:r>
        <w:rPr>
          <w:color w:val="000000" w:themeColor="text1"/>
          <w:sz w:val="18"/>
          <w:szCs w:val="18"/>
          <w:highlight w:val="none"/>
        </w:rPr>
      </w:r>
      <w:r>
        <w:rPr>
          <w:color w:val="000000" w:themeColor="text1"/>
          <w:sz w:val="18"/>
          <w:szCs w:val="18"/>
          <w:highlight w:val="none"/>
        </w:rPr>
      </w:r>
      <w:r>
        <w:rPr>
          <w:color w:val="000000" w:themeColor="text1"/>
          <w:sz w:val="18"/>
          <w:szCs w:val="18"/>
          <w:highlight w:val="none"/>
        </w:rPr>
      </w:r>
    </w:p>
    <w:p>
      <w:pPr>
        <w:pStyle w:val="1068"/>
        <w:ind w:right="253" w:firstLine="709"/>
        <w:jc w:val="both"/>
        <w:spacing w:line="276" w:lineRule="auto"/>
        <w:rPr>
          <w:color w:val="auto"/>
          <w:sz w:val="20"/>
          <w:szCs w:val="20"/>
          <w:highlight w:val="non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666" w:gutter="0"/>
          <w:pgNumType w:start="3"/>
          <w:cols w:num="1" w:sep="0" w:space="720" w:equalWidth="1"/>
          <w:docGrid w:linePitch="360"/>
          <w:titlePg/>
        </w:sectPr>
      </w:pPr>
      <w:r>
        <w:rPr>
          <w:color w:val="auto"/>
          <w:sz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0" w:right="-57" w:firstLine="709"/>
        <w:jc w:val="both"/>
        <w:tabs>
          <w:tab w:val="left" w:pos="142" w:leader="none"/>
        </w:tabs>
        <w:rPr>
          <w:highlight w:val="none"/>
        </w:rPr>
        <w:suppressLineNumbers w:val="0"/>
      </w:pPr>
      <w:r>
        <w:rPr>
          <w:highlight w:val="none"/>
        </w:rPr>
        <w:t xml:space="preserve"> </w:t>
      </w:r>
      <w:r>
        <w:rPr>
          <w:highlight w:val="none"/>
        </w:rPr>
        <w:t xml:space="preserve">- в подразделе 4 «Финансовое обеспечение государственной программы» </w:t>
      </w:r>
      <w:r>
        <w:rPr>
          <w:highlight w:val="none"/>
        </w:rPr>
        <w:t xml:space="preserve"> подраздел 4.3 «</w:t>
      </w:r>
      <w:r>
        <w:rPr>
          <w:highlight w:val="none"/>
        </w:rPr>
        <w:t xml:space="preserve">Финансовое обеспечение государственной программы </w:t>
      </w:r>
      <w:r>
        <w:rPr>
          <w:highlight w:val="none"/>
        </w:rPr>
        <w:t xml:space="preserve">по направлениям расходов</w:t>
      </w:r>
      <w:r>
        <w:rPr>
          <w:highlight w:val="none"/>
        </w:rPr>
        <w:t xml:space="preserve">»</w:t>
      </w:r>
      <w:r>
        <w:t xml:space="preserve">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-57" w:firstLine="0"/>
        <w:jc w:val="center"/>
        <w:rPr>
          <w:highlight w:val="none"/>
        </w:rPr>
      </w:pPr>
      <w:r>
        <w:rPr>
          <w:highlight w:val="none"/>
        </w:rPr>
        <w:t xml:space="preserve">«4.3. Финансовое обеспечение государственной программы </w:t>
      </w:r>
      <w:r>
        <w:rPr>
          <w:highlight w:val="none"/>
        </w:rPr>
        <w:t xml:space="preserve">по направлениям расходов</w:t>
      </w:r>
      <w:r>
        <w:rPr>
          <w:highlight w:val="none"/>
        </w:rPr>
      </w:r>
      <w:r>
        <w:rPr>
          <w:highlight w:val="none"/>
        </w:rPr>
      </w:r>
    </w:p>
    <w:p>
      <w:pPr>
        <w:pStyle w:val="1067"/>
        <w:jc w:val="center"/>
        <w:spacing w:line="216" w:lineRule="auto"/>
        <w:rPr>
          <w:b w:val="0"/>
          <w:color w:val="auto"/>
          <w:szCs w:val="28"/>
          <w:highlight w:val="none"/>
        </w:rPr>
      </w:pPr>
      <w:r>
        <w:rPr>
          <w:b w:val="0"/>
          <w:color w:val="auto"/>
          <w:szCs w:val="28"/>
          <w:highlight w:val="none"/>
        </w:rPr>
      </w:r>
      <w:r>
        <w:rPr>
          <w:b w:val="0"/>
          <w:color w:val="auto"/>
          <w:szCs w:val="28"/>
          <w:highlight w:val="none"/>
        </w:rPr>
      </w:r>
      <w:r>
        <w:rPr>
          <w:b w:val="0"/>
          <w:color w:val="auto"/>
          <w:szCs w:val="28"/>
          <w:highlight w:val="none"/>
        </w:rPr>
      </w:r>
    </w:p>
    <w:tbl>
      <w:tblPr>
        <w:tblW w:w="9921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3"/>
        <w:gridCol w:w="1274"/>
        <w:gridCol w:w="1274"/>
        <w:gridCol w:w="1252"/>
        <w:gridCol w:w="22"/>
        <w:gridCol w:w="1311"/>
        <w:gridCol w:w="104"/>
        <w:gridCol w:w="1229"/>
        <w:gridCol w:w="56"/>
        <w:gridCol w:w="1274"/>
      </w:tblGrid>
      <w:tr>
        <w:tblPrEx/>
        <w:trPr>
          <w:trHeight w:val="260"/>
        </w:trPr>
        <w:tc>
          <w:tcPr>
            <w:tcW w:w="2123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Источники и направления расходов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9"/>
            <w:tcW w:w="7798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Расходы (тыс. руб.), годы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2"/>
        </w:trPr>
        <w:tc>
          <w:tcPr>
            <w:tcW w:w="2123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1068"/>
              <w:ind w:left="437" w:hanging="437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8"/>
            <w:tcW w:w="6523" w:type="dxa"/>
            <w:textDirection w:val="lrTb"/>
            <w:noWrap w:val="false"/>
          </w:tcPr>
          <w:p>
            <w:pPr>
              <w:pStyle w:val="1068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в том числе по годам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385"/>
        </w:trPr>
        <w:tc>
          <w:tcPr>
            <w:tcW w:w="2123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024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1068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2025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41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85" w:type="dxa"/>
            <w:textDirection w:val="lrTb"/>
            <w:noWrap w:val="false"/>
          </w:tcPr>
          <w:p>
            <w:pPr>
              <w:jc w:val="lef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2027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left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      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        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2028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год*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tcW w:w="2123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74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41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gridSpan w:val="2"/>
            <w:tcW w:w="1285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60"/>
        </w:trPr>
        <w:tc>
          <w:tcPr>
            <w:gridSpan w:val="10"/>
            <w:tcW w:w="9921" w:type="dxa"/>
            <w:textDirection w:val="lrTb"/>
            <w:noWrap w:val="false"/>
          </w:tcPr>
          <w:p>
            <w:pPr>
              <w:pStyle w:val="1068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45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2 697 505,60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43 660,70</w:t>
            </w:r>
            <w:r/>
          </w:p>
        </w:tc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920 256,40</w:t>
            </w:r>
            <w:r/>
          </w:p>
        </w:tc>
        <w:tc>
          <w:tcPr>
            <w:gridSpan w:val="2"/>
            <w:tcW w:w="14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781 028,50</w:t>
            </w:r>
            <w:r/>
          </w:p>
        </w:tc>
        <w:tc>
          <w:tcPr>
            <w:gridSpan w:val="2"/>
            <w:tcW w:w="128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300 000,0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652 560,0</w:t>
            </w:r>
            <w:r/>
          </w:p>
        </w:tc>
      </w:tr>
      <w:tr>
        <w:tblPrEx/>
        <w:trPr>
          <w:trHeight w:val="217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7 749 761,15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1 170 779,22</w:t>
            </w:r>
            <w:r/>
          </w:p>
        </w:tc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1 561 858,22</w:t>
            </w:r>
            <w:r/>
          </w:p>
        </w:tc>
        <w:tc>
          <w:tcPr>
            <w:gridSpan w:val="2"/>
            <w:tcW w:w="14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1 597 826,81</w:t>
            </w:r>
            <w:r/>
          </w:p>
        </w:tc>
        <w:tc>
          <w:tcPr>
            <w:gridSpan w:val="2"/>
            <w:tcW w:w="128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1 707 877,8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1 711 419,1</w:t>
            </w:r>
            <w:r/>
          </w:p>
        </w:tc>
      </w:tr>
      <w:tr>
        <w:tblPrEx/>
        <w:trPr>
          <w:trHeight w:val="440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16 349,30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1 986,80</w:t>
            </w:r>
            <w:r/>
          </w:p>
        </w:tc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3 202,50</w:t>
            </w:r>
            <w:r/>
          </w:p>
        </w:tc>
        <w:tc>
          <w:tcPr>
            <w:gridSpan w:val="2"/>
            <w:tcW w:w="14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3 674,80</w:t>
            </w:r>
            <w:r/>
          </w:p>
        </w:tc>
        <w:tc>
          <w:tcPr>
            <w:gridSpan w:val="2"/>
            <w:tcW w:w="128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</w:tr>
      <w:tr>
        <w:tblPrEx/>
        <w:trPr>
          <w:trHeight w:val="224"/>
        </w:trPr>
        <w:tc>
          <w:tcPr>
            <w:tcW w:w="2123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28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1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571 258,40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43 660,70</w:t>
            </w:r>
            <w:r/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240 476,20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287 121,50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>
          <w:trHeight w:val="217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318 543,15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272 541,02</w:t>
            </w:r>
            <w:r/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15 949,32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30 052,81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blPrEx/>
        <w:trPr>
          <w:trHeight w:val="440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0,0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0,0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8"/>
        </w:trPr>
        <w:tc>
          <w:tcPr>
            <w:tcW w:w="2123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НИОКР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93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9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1"/>
        </w:trPr>
        <w:tc>
          <w:tcPr>
            <w:tcW w:w="2123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gridSpan w:val="10"/>
            <w:tcW w:w="9921" w:type="dxa"/>
            <w:vAlign w:val="top"/>
            <w:textDirection w:val="lrTb"/>
            <w:noWrap w:val="false"/>
          </w:tcPr>
          <w:p>
            <w:pPr>
              <w:pStyle w:val="1068"/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54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2 126 247,20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0,00</w:t>
            </w:r>
            <w:r/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679 780,20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493 907,0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300 000,0</w:t>
            </w:r>
            <w:r/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652 560,0</w:t>
            </w:r>
            <w:r/>
          </w:p>
        </w:tc>
      </w:tr>
      <w:tr>
        <w:tblPrEx/>
        <w:trPr>
          <w:trHeight w:val="217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Областной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eastAsia="ru-RU"/>
              </w:rPr>
              <w:t xml:space="preserve">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7 431 218,00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898 238,20</w:t>
            </w:r>
            <w:r/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1 545 908,90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1 567 774,0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1 707 877,8</w:t>
            </w:r>
            <w:r/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1 711 419,1</w:t>
            </w:r>
            <w:r/>
          </w:p>
        </w:tc>
      </w:tr>
      <w:tr>
        <w:tblPrEx/>
        <w:trPr>
          <w:trHeight w:val="271"/>
        </w:trPr>
        <w:tc>
          <w:tcPr>
            <w:tcW w:w="2123" w:type="dxa"/>
            <w:vAlign w:val="top"/>
            <w:textDirection w:val="lrTb"/>
            <w:noWrap w:val="false"/>
          </w:tcPr>
          <w:p>
            <w:pPr>
              <w:pStyle w:val="1068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Бюджеты муниципальных образований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16 349,30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1 986,80</w:t>
            </w:r>
            <w:r/>
          </w:p>
        </w:tc>
        <w:tc>
          <w:tcPr>
            <w:tcW w:w="125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3 202,50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3 674,8</w:t>
            </w:r>
            <w:r/>
          </w:p>
        </w:tc>
        <w:tc>
          <w:tcPr>
            <w:gridSpan w:val="2"/>
            <w:tcW w:w="13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  <w:tc>
          <w:tcPr>
            <w:gridSpan w:val="2"/>
            <w:tcW w:w="133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3 742,6</w:t>
            </w:r>
            <w:r/>
          </w:p>
        </w:tc>
      </w:tr>
      <w:tr>
        <w:tblPrEx/>
        <w:trPr>
          <w:trHeight w:val="286"/>
        </w:trPr>
        <w:tc>
          <w:tcPr>
            <w:tcW w:w="2123" w:type="dxa"/>
            <w:vAlign w:val="top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6"/>
                <w:szCs w:val="16"/>
                <w:highlight w:val="none"/>
              </w:rPr>
            </w:r>
            <w:r>
              <w:rPr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W w:w="1330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0,0</w:t>
            </w:r>
            <w:r>
              <w:rPr>
                <w:szCs w:val="28"/>
                <w:highlight w:val="none"/>
              </w:rPr>
              <w:t xml:space="preserve">».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none"/>
              </w:rPr>
            </w:r>
          </w:p>
        </w:tc>
      </w:tr>
    </w:tbl>
    <w:p>
      <w:pPr>
        <w:ind w:left="-142" w:right="-170" w:firstLine="0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-142" w:right="-170" w:firstLine="0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0" w:right="1" w:firstLine="709"/>
        <w:jc w:val="both"/>
        <w:tabs>
          <w:tab w:val="left" w:pos="142" w:leader="none"/>
          <w:tab w:val="left" w:pos="283" w:leader="none"/>
          <w:tab w:val="left" w:pos="709" w:leader="none"/>
          <w:tab w:val="left" w:pos="9354" w:leader="none"/>
        </w:tabs>
        <w:rPr>
          <w:highlight w:val="none"/>
        </w:rPr>
      </w:pPr>
      <w:r>
        <w:rPr>
          <w:szCs w:val="28"/>
          <w:highlight w:val="white"/>
        </w:rPr>
        <w:t xml:space="preserve">2. Настоящее постановление</w:t>
      </w:r>
      <w:r>
        <w:rPr>
          <w:szCs w:val="28"/>
          <w:highlight w:val="white"/>
        </w:rPr>
        <w:t xml:space="preserve"> вступает в силу со дня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68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1068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1083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83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szCs w:val="28"/>
        </w:rPr>
        <w:t xml:space="preserve">Г</w:t>
      </w:r>
      <w:r>
        <w:rPr>
          <w:szCs w:val="28"/>
        </w:rPr>
        <w:t xml:space="preserve">убернатор области </w:t>
      </w:r>
      <w:r>
        <w:rPr>
          <w:szCs w:val="28"/>
        </w:rPr>
        <w:t xml:space="preserve">                                                                     Р.Э. Гольдштейн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13"/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left" w:pos="7781" w:leader="none"/>
      </w:tabs>
    </w:pPr>
    <w:r>
      <w:rPr>
        <w:rFonts w:ascii="Arial" w:hAnsi="Arial" w:cs="Arial"/>
        <w:color w:val="000000" w:themeColor="text1"/>
        <w:sz w:val="18"/>
        <w:szCs w:val="1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tab/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  <w:p>
    <w:pPr>
      <w:pStyle w:val="1072"/>
      <w:tabs>
        <w:tab w:val="clear" w:pos="4677" w:leader="none"/>
        <w:tab w:val="left" w:pos="7961" w:leader="none"/>
        <w:tab w:val="clear" w:pos="9355" w:leader="none"/>
      </w:tabs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>
      <w:rPr>
        <w:color w:val="000000" w:themeColor="text1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left" w:pos="7781" w:leader="none"/>
      </w:tabs>
    </w:pPr>
    <w:r>
      <w:rPr>
        <w:rFonts w:ascii="Arial" w:hAnsi="Arial" w:cs="Arial"/>
        <w:color w:val="000000" w:themeColor="text1"/>
        <w:sz w:val="18"/>
        <w:szCs w:val="18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tab/>
    </w:r>
    <w:r>
      <w:rPr>
        <w:rFonts w:ascii="Arial" w:hAnsi="Arial" w:cs="Arial"/>
        <w:color w:val="000000" w:themeColor="text1"/>
        <w:sz w:val="18"/>
        <w:szCs w:val="18"/>
      </w:rPr>
      <w:t xml:space="preserve">Сирота/202</w:t>
    </w:r>
    <w:r>
      <w:rPr>
        <w:rFonts w:ascii="Arial" w:hAnsi="Arial" w:cs="Arial"/>
        <w:color w:val="000000" w:themeColor="text1"/>
        <w:sz w:val="18"/>
        <w:szCs w:val="18"/>
      </w:rPr>
      <w:t xml:space="preserve">3-000-пп-АВТО(1)</w:t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  <w:p>
    <w:pPr>
      <w:pStyle w:val="1072"/>
      <w:tabs>
        <w:tab w:val="clear" w:pos="4677" w:leader="none"/>
        <w:tab w:val="left" w:pos="7961" w:leader="none"/>
        <w:tab w:val="clear" w:pos="9355" w:leader="none"/>
      </w:tabs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jc w:val="center"/>
    </w:pPr>
    <w:fldSimple w:instr="PAGE \* MERGEFORMAT">
      <w:r>
        <w:t xml:space="preserve">1</w:t>
      </w:r>
    </w:fldSimple>
    <w:r/>
    <w:r/>
  </w:p>
  <w:p>
    <w:pPr>
      <w:pStyle w:val="10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jc w:val="right"/>
      <w:rPr>
        <w:color w:val="ffffff" w:themeColor="background1"/>
      </w:rPr>
    </w:pPr>
    <w:r>
      <w:rPr>
        <w:color w:val="ffffff" w:themeColor="background1"/>
      </w:rPr>
      <w:t xml:space="preserve">ПРОЕКТ</w:t>
    </w:r>
    <w:r>
      <w:rPr>
        <w:color w:val="ffffff" w:themeColor="background1"/>
      </w:rPr>
    </w:r>
    <w:r>
      <w:rPr>
        <w:color w:val="ffffff" w:themeColor="background1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jc w:val="center"/>
    </w:pPr>
    <w:fldSimple w:instr="PAGE \* MERGEFORMAT">
      <w:r>
        <w:t xml:space="preserve">1</w:t>
      </w:r>
    </w:fldSimple>
    <w:r/>
    <w:r/>
  </w:p>
  <w:p>
    <w:pPr>
      <w:pStyle w:val="106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jc w:val="right"/>
      <w:rPr>
        <w:color w:val="ffffff" w:themeColor="background1"/>
      </w:rPr>
    </w:pPr>
    <w:r>
      <w:rPr>
        <w:color w:val="ffffff" w:themeColor="background1"/>
      </w:rPr>
      <w:t xml:space="preserve">ПРОЕКТ</w:t>
    </w:r>
    <w:r>
      <w:rPr>
        <w:color w:val="ffffff" w:themeColor="background1"/>
      </w:rPr>
    </w:r>
    <w:r>
      <w:rPr>
        <w:color w:val="ffffff" w:themeColor="background1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jc w:val="center"/>
    </w:pPr>
    <w:fldSimple w:instr="PAGE \* MERGEFORMAT">
      <w:r>
        <w:t xml:space="preserve">1</w:t>
      </w:r>
    </w:fldSimple>
    <w:r/>
    <w:r/>
  </w:p>
  <w:p>
    <w:pPr>
      <w:pStyle w:val="10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80">
    <w:name w:val="Heading 1"/>
    <w:basedOn w:val="1051"/>
    <w:next w:val="1051"/>
    <w:link w:val="8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81">
    <w:name w:val="Heading 1 Char"/>
    <w:basedOn w:val="1053"/>
    <w:link w:val="880"/>
    <w:uiPriority w:val="9"/>
    <w:rPr>
      <w:rFonts w:ascii="Arial" w:hAnsi="Arial" w:eastAsia="Arial" w:cs="Arial"/>
      <w:sz w:val="40"/>
      <w:szCs w:val="40"/>
    </w:rPr>
  </w:style>
  <w:style w:type="character" w:styleId="882">
    <w:name w:val="Heading 2 Char"/>
    <w:basedOn w:val="1053"/>
    <w:link w:val="1052"/>
    <w:uiPriority w:val="9"/>
    <w:rPr>
      <w:rFonts w:ascii="Arial" w:hAnsi="Arial" w:eastAsia="Arial" w:cs="Arial"/>
      <w:sz w:val="34"/>
    </w:rPr>
  </w:style>
  <w:style w:type="paragraph" w:styleId="883">
    <w:name w:val="Heading 3"/>
    <w:basedOn w:val="1051"/>
    <w:next w:val="1051"/>
    <w:link w:val="8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4">
    <w:name w:val="Heading 3 Char"/>
    <w:basedOn w:val="1053"/>
    <w:link w:val="883"/>
    <w:uiPriority w:val="9"/>
    <w:rPr>
      <w:rFonts w:ascii="Arial" w:hAnsi="Arial" w:eastAsia="Arial" w:cs="Arial"/>
      <w:sz w:val="30"/>
      <w:szCs w:val="30"/>
    </w:rPr>
  </w:style>
  <w:style w:type="paragraph" w:styleId="885">
    <w:name w:val="Heading 4"/>
    <w:basedOn w:val="1051"/>
    <w:next w:val="1051"/>
    <w:link w:val="8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6">
    <w:name w:val="Heading 4 Char"/>
    <w:basedOn w:val="1053"/>
    <w:link w:val="885"/>
    <w:uiPriority w:val="9"/>
    <w:rPr>
      <w:rFonts w:ascii="Arial" w:hAnsi="Arial" w:eastAsia="Arial" w:cs="Arial"/>
      <w:b/>
      <w:bCs/>
      <w:sz w:val="26"/>
      <w:szCs w:val="26"/>
    </w:rPr>
  </w:style>
  <w:style w:type="paragraph" w:styleId="887">
    <w:name w:val="Heading 5"/>
    <w:basedOn w:val="1051"/>
    <w:next w:val="1051"/>
    <w:link w:val="8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8">
    <w:name w:val="Heading 5 Char"/>
    <w:basedOn w:val="1053"/>
    <w:link w:val="887"/>
    <w:uiPriority w:val="9"/>
    <w:rPr>
      <w:rFonts w:ascii="Arial" w:hAnsi="Arial" w:eastAsia="Arial" w:cs="Arial"/>
      <w:b/>
      <w:bCs/>
      <w:sz w:val="24"/>
      <w:szCs w:val="24"/>
    </w:rPr>
  </w:style>
  <w:style w:type="paragraph" w:styleId="889">
    <w:name w:val="Heading 6"/>
    <w:basedOn w:val="1051"/>
    <w:next w:val="1051"/>
    <w:link w:val="8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0">
    <w:name w:val="Heading 6 Char"/>
    <w:basedOn w:val="1053"/>
    <w:link w:val="889"/>
    <w:uiPriority w:val="9"/>
    <w:rPr>
      <w:rFonts w:ascii="Arial" w:hAnsi="Arial" w:eastAsia="Arial" w:cs="Arial"/>
      <w:b/>
      <w:bCs/>
      <w:sz w:val="22"/>
      <w:szCs w:val="22"/>
    </w:rPr>
  </w:style>
  <w:style w:type="paragraph" w:styleId="891">
    <w:name w:val="Heading 7"/>
    <w:basedOn w:val="1051"/>
    <w:next w:val="1051"/>
    <w:link w:val="8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7 Char"/>
    <w:basedOn w:val="1053"/>
    <w:link w:val="8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3">
    <w:name w:val="Heading 8"/>
    <w:basedOn w:val="1051"/>
    <w:next w:val="1051"/>
    <w:link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4">
    <w:name w:val="Heading 8 Char"/>
    <w:basedOn w:val="1053"/>
    <w:link w:val="893"/>
    <w:uiPriority w:val="9"/>
    <w:rPr>
      <w:rFonts w:ascii="Arial" w:hAnsi="Arial" w:eastAsia="Arial" w:cs="Arial"/>
      <w:i/>
      <w:iCs/>
      <w:sz w:val="22"/>
      <w:szCs w:val="22"/>
    </w:rPr>
  </w:style>
  <w:style w:type="paragraph" w:styleId="895">
    <w:name w:val="Heading 9"/>
    <w:basedOn w:val="1051"/>
    <w:next w:val="1051"/>
    <w:link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>
    <w:name w:val="Heading 9 Char"/>
    <w:basedOn w:val="1053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897">
    <w:name w:val="No Spacing"/>
    <w:uiPriority w:val="1"/>
    <w:qFormat/>
    <w:pPr>
      <w:spacing w:before="0" w:after="0" w:line="240" w:lineRule="auto"/>
    </w:pPr>
  </w:style>
  <w:style w:type="character" w:styleId="898">
    <w:name w:val="Title Char"/>
    <w:basedOn w:val="1053"/>
    <w:link w:val="1059"/>
    <w:uiPriority w:val="10"/>
    <w:rPr>
      <w:sz w:val="48"/>
      <w:szCs w:val="48"/>
    </w:rPr>
  </w:style>
  <w:style w:type="paragraph" w:styleId="899">
    <w:name w:val="Subtitle"/>
    <w:basedOn w:val="1051"/>
    <w:next w:val="1051"/>
    <w:link w:val="900"/>
    <w:uiPriority w:val="11"/>
    <w:qFormat/>
    <w:pPr>
      <w:spacing w:before="200" w:after="200"/>
    </w:pPr>
    <w:rPr>
      <w:sz w:val="24"/>
      <w:szCs w:val="24"/>
    </w:rPr>
  </w:style>
  <w:style w:type="character" w:styleId="900">
    <w:name w:val="Subtitle Char"/>
    <w:basedOn w:val="1053"/>
    <w:link w:val="899"/>
    <w:uiPriority w:val="11"/>
    <w:rPr>
      <w:sz w:val="24"/>
      <w:szCs w:val="24"/>
    </w:rPr>
  </w:style>
  <w:style w:type="paragraph" w:styleId="901">
    <w:name w:val="Quote"/>
    <w:basedOn w:val="1051"/>
    <w:next w:val="1051"/>
    <w:link w:val="902"/>
    <w:uiPriority w:val="29"/>
    <w:qFormat/>
    <w:pPr>
      <w:ind w:left="720" w:right="720"/>
    </w:pPr>
    <w:rPr>
      <w:i/>
    </w:rPr>
  </w:style>
  <w:style w:type="character" w:styleId="902">
    <w:name w:val="Quote Char"/>
    <w:link w:val="901"/>
    <w:uiPriority w:val="29"/>
    <w:rPr>
      <w:i/>
    </w:rPr>
  </w:style>
  <w:style w:type="paragraph" w:styleId="903">
    <w:name w:val="Intense Quote"/>
    <w:basedOn w:val="1051"/>
    <w:next w:val="1051"/>
    <w:link w:val="9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4">
    <w:name w:val="Intense Quote Char"/>
    <w:link w:val="903"/>
    <w:uiPriority w:val="30"/>
    <w:rPr>
      <w:i/>
    </w:rPr>
  </w:style>
  <w:style w:type="character" w:styleId="905">
    <w:name w:val="Header Char"/>
    <w:basedOn w:val="1053"/>
    <w:link w:val="1069"/>
    <w:uiPriority w:val="99"/>
  </w:style>
  <w:style w:type="character" w:styleId="906">
    <w:name w:val="Footer Char"/>
    <w:basedOn w:val="1053"/>
    <w:link w:val="1072"/>
    <w:uiPriority w:val="99"/>
  </w:style>
  <w:style w:type="character" w:styleId="907">
    <w:name w:val="Caption Char"/>
    <w:basedOn w:val="1064"/>
    <w:link w:val="1072"/>
    <w:uiPriority w:val="99"/>
  </w:style>
  <w:style w:type="table" w:styleId="908">
    <w:name w:val="Table Grid Light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Plain Table 1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0">
    <w:name w:val="Plain Table 2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2">
    <w:name w:val="Plain Table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Plain Table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4">
    <w:name w:val="Grid Table 1 Light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4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6">
    <w:name w:val="Grid Table 4 - Accent 1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7">
    <w:name w:val="Grid Table 4 - Accent 2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8">
    <w:name w:val="Grid Table 4 - Accent 3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9">
    <w:name w:val="Grid Table 4 - Accent 4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0">
    <w:name w:val="Grid Table 4 - Accent 5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1">
    <w:name w:val="Grid Table 4 - Accent 6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2">
    <w:name w:val="Grid Table 5 Dark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3">
    <w:name w:val="Grid Table 5 Dark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6">
    <w:name w:val="Grid Table 5 Dark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9">
    <w:name w:val="Grid Table 6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0">
    <w:name w:val="Grid Table 6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1">
    <w:name w:val="Grid Table 6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2">
    <w:name w:val="Grid Table 6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3">
    <w:name w:val="Grid Table 6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4">
    <w:name w:val="Grid Table 6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5">
    <w:name w:val="Grid Table 6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6">
    <w:name w:val="Grid Table 7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1">
    <w:name w:val="List Table 2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2">
    <w:name w:val="List Table 2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3">
    <w:name w:val="List Table 2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4">
    <w:name w:val="List Table 2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5">
    <w:name w:val="List Table 2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6">
    <w:name w:val="List Table 2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7">
    <w:name w:val="List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5 Dark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5 Dark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6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9">
    <w:name w:val="List Table 6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0">
    <w:name w:val="List Table 6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1">
    <w:name w:val="List Table 6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2">
    <w:name w:val="List Table 6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3">
    <w:name w:val="List Table 6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4">
    <w:name w:val="List Table 6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5">
    <w:name w:val="List Table 7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6">
    <w:name w:val="List Table 7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7">
    <w:name w:val="List Table 7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8">
    <w:name w:val="List Table 7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9">
    <w:name w:val="List Table 7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0">
    <w:name w:val="List Table 7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1">
    <w:name w:val="List Table 7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2">
    <w:name w:val="Lined - Accent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3">
    <w:name w:val="Lined - Accent 1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4">
    <w:name w:val="Lined - Accent 2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5">
    <w:name w:val="Lined - Accent 3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6">
    <w:name w:val="Lined - Accent 4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7">
    <w:name w:val="Lined - Accent 5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8">
    <w:name w:val="Lined - Accent 6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9">
    <w:name w:val="Bordered &amp; Lined - Accent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0">
    <w:name w:val="Bordered &amp; Lined - Accent 1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1">
    <w:name w:val="Bordered &amp; Lined - Accent 2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2">
    <w:name w:val="Bordered &amp; Lined - Accent 3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3">
    <w:name w:val="Bordered &amp; Lined - Accent 4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4">
    <w:name w:val="Bordered &amp; Lined - Accent 5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5">
    <w:name w:val="Bordered &amp; Lined - Accent 6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6">
    <w:name w:val="Bordered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7">
    <w:name w:val="Bordered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8">
    <w:name w:val="Bordered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9">
    <w:name w:val="Bordered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0">
    <w:name w:val="Bordered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1">
    <w:name w:val="Bordered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2">
    <w:name w:val="Bordered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3">
    <w:name w:val="Hyperlink"/>
    <w:uiPriority w:val="99"/>
    <w:unhideWhenUsed/>
    <w:rPr>
      <w:color w:val="0000ff" w:themeColor="hyperlink"/>
      <w:u w:val="single"/>
    </w:rPr>
  </w:style>
  <w:style w:type="paragraph" w:styleId="1034">
    <w:name w:val="footnote text"/>
    <w:basedOn w:val="1051"/>
    <w:link w:val="1035"/>
    <w:uiPriority w:val="99"/>
    <w:semiHidden/>
    <w:unhideWhenUsed/>
    <w:pPr>
      <w:spacing w:after="40" w:line="240" w:lineRule="auto"/>
    </w:pPr>
    <w:rPr>
      <w:sz w:val="18"/>
    </w:rPr>
  </w:style>
  <w:style w:type="character" w:styleId="1035">
    <w:name w:val="Footnote Text Char"/>
    <w:link w:val="1034"/>
    <w:uiPriority w:val="99"/>
    <w:rPr>
      <w:sz w:val="18"/>
    </w:rPr>
  </w:style>
  <w:style w:type="character" w:styleId="1036">
    <w:name w:val="footnote reference"/>
    <w:basedOn w:val="1053"/>
    <w:uiPriority w:val="99"/>
    <w:unhideWhenUsed/>
    <w:rPr>
      <w:vertAlign w:val="superscript"/>
    </w:rPr>
  </w:style>
  <w:style w:type="paragraph" w:styleId="1037">
    <w:name w:val="endnote text"/>
    <w:basedOn w:val="1051"/>
    <w:link w:val="1038"/>
    <w:uiPriority w:val="99"/>
    <w:semiHidden/>
    <w:unhideWhenUsed/>
    <w:pPr>
      <w:spacing w:after="0" w:line="240" w:lineRule="auto"/>
    </w:pPr>
    <w:rPr>
      <w:sz w:val="20"/>
    </w:rPr>
  </w:style>
  <w:style w:type="character" w:styleId="1038">
    <w:name w:val="Endnote Text Char"/>
    <w:link w:val="1037"/>
    <w:uiPriority w:val="99"/>
    <w:rPr>
      <w:sz w:val="20"/>
    </w:rPr>
  </w:style>
  <w:style w:type="character" w:styleId="1039">
    <w:name w:val="endnote reference"/>
    <w:basedOn w:val="1053"/>
    <w:uiPriority w:val="99"/>
    <w:semiHidden/>
    <w:unhideWhenUsed/>
    <w:rPr>
      <w:vertAlign w:val="superscript"/>
    </w:rPr>
  </w:style>
  <w:style w:type="paragraph" w:styleId="1040">
    <w:name w:val="toc 1"/>
    <w:basedOn w:val="1051"/>
    <w:next w:val="1051"/>
    <w:uiPriority w:val="39"/>
    <w:unhideWhenUsed/>
    <w:pPr>
      <w:ind w:left="0" w:right="0" w:firstLine="0"/>
      <w:spacing w:after="57"/>
    </w:pPr>
  </w:style>
  <w:style w:type="paragraph" w:styleId="1041">
    <w:name w:val="toc 2"/>
    <w:basedOn w:val="1051"/>
    <w:next w:val="1051"/>
    <w:uiPriority w:val="39"/>
    <w:unhideWhenUsed/>
    <w:pPr>
      <w:ind w:left="283" w:right="0" w:firstLine="0"/>
      <w:spacing w:after="57"/>
    </w:pPr>
  </w:style>
  <w:style w:type="paragraph" w:styleId="1042">
    <w:name w:val="toc 3"/>
    <w:basedOn w:val="1051"/>
    <w:next w:val="1051"/>
    <w:uiPriority w:val="39"/>
    <w:unhideWhenUsed/>
    <w:pPr>
      <w:ind w:left="567" w:right="0" w:firstLine="0"/>
      <w:spacing w:after="57"/>
    </w:pPr>
  </w:style>
  <w:style w:type="paragraph" w:styleId="1043">
    <w:name w:val="toc 4"/>
    <w:basedOn w:val="1051"/>
    <w:next w:val="1051"/>
    <w:uiPriority w:val="39"/>
    <w:unhideWhenUsed/>
    <w:pPr>
      <w:ind w:left="850" w:right="0" w:firstLine="0"/>
      <w:spacing w:after="57"/>
    </w:pPr>
  </w:style>
  <w:style w:type="paragraph" w:styleId="1044">
    <w:name w:val="toc 5"/>
    <w:basedOn w:val="1051"/>
    <w:next w:val="1051"/>
    <w:uiPriority w:val="39"/>
    <w:unhideWhenUsed/>
    <w:pPr>
      <w:ind w:left="1134" w:right="0" w:firstLine="0"/>
      <w:spacing w:after="57"/>
    </w:pPr>
  </w:style>
  <w:style w:type="paragraph" w:styleId="1045">
    <w:name w:val="toc 6"/>
    <w:basedOn w:val="1051"/>
    <w:next w:val="1051"/>
    <w:uiPriority w:val="39"/>
    <w:unhideWhenUsed/>
    <w:pPr>
      <w:ind w:left="1417" w:right="0" w:firstLine="0"/>
      <w:spacing w:after="57"/>
    </w:pPr>
  </w:style>
  <w:style w:type="paragraph" w:styleId="1046">
    <w:name w:val="toc 7"/>
    <w:basedOn w:val="1051"/>
    <w:next w:val="1051"/>
    <w:uiPriority w:val="39"/>
    <w:unhideWhenUsed/>
    <w:pPr>
      <w:ind w:left="1701" w:right="0" w:firstLine="0"/>
      <w:spacing w:after="57"/>
    </w:pPr>
  </w:style>
  <w:style w:type="paragraph" w:styleId="1047">
    <w:name w:val="toc 8"/>
    <w:basedOn w:val="1051"/>
    <w:next w:val="1051"/>
    <w:uiPriority w:val="39"/>
    <w:unhideWhenUsed/>
    <w:pPr>
      <w:ind w:left="1984" w:right="0" w:firstLine="0"/>
      <w:spacing w:after="57"/>
    </w:pPr>
  </w:style>
  <w:style w:type="paragraph" w:styleId="1048">
    <w:name w:val="toc 9"/>
    <w:basedOn w:val="1051"/>
    <w:next w:val="1051"/>
    <w:uiPriority w:val="39"/>
    <w:unhideWhenUsed/>
    <w:pPr>
      <w:ind w:left="2268" w:right="0" w:firstLine="0"/>
      <w:spacing w:after="57"/>
    </w:pPr>
  </w:style>
  <w:style w:type="paragraph" w:styleId="1049">
    <w:name w:val="TOC Heading"/>
    <w:uiPriority w:val="39"/>
    <w:unhideWhenUsed/>
  </w:style>
  <w:style w:type="paragraph" w:styleId="1050">
    <w:name w:val="table of figures"/>
    <w:basedOn w:val="1051"/>
    <w:next w:val="1051"/>
    <w:uiPriority w:val="99"/>
    <w:unhideWhenUsed/>
    <w:pPr>
      <w:spacing w:after="0" w:afterAutospacing="0"/>
    </w:pPr>
  </w:style>
  <w:style w:type="paragraph" w:styleId="1051" w:default="1">
    <w:name w:val="Normal"/>
    <w:qFormat/>
    <w:pPr>
      <w:ind w:left="74" w:right="-57"/>
    </w:pPr>
    <w:rPr>
      <w:sz w:val="28"/>
      <w:lang w:eastAsia="en-US"/>
    </w:rPr>
  </w:style>
  <w:style w:type="paragraph" w:styleId="1052">
    <w:name w:val="Heading 2"/>
    <w:basedOn w:val="1051"/>
    <w:next w:val="1051"/>
    <w:link w:val="1082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1053" w:default="1">
    <w:name w:val="Default Paragraph Font"/>
    <w:uiPriority w:val="1"/>
    <w:semiHidden/>
    <w:unhideWhenUsed/>
  </w:style>
  <w:style w:type="table" w:styleId="10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5" w:default="1">
    <w:name w:val="No List"/>
    <w:uiPriority w:val="99"/>
    <w:semiHidden/>
    <w:unhideWhenUsed/>
  </w:style>
  <w:style w:type="character" w:styleId="1056" w:customStyle="1">
    <w:name w:val="Верхний колонтитул Знак"/>
    <w:uiPriority w:val="99"/>
  </w:style>
  <w:style w:type="character" w:styleId="1057" w:customStyle="1">
    <w:name w:val="Нижний колонтитул Знак"/>
    <w:uiPriority w:val="99"/>
  </w:style>
  <w:style w:type="character" w:styleId="1058" w:customStyle="1">
    <w:name w:val="Интернет-ссылка"/>
    <w:uiPriority w:val="99"/>
    <w:rPr>
      <w:color w:val="0000ff"/>
      <w:u w:val="single"/>
    </w:rPr>
  </w:style>
  <w:style w:type="paragraph" w:styleId="1059">
    <w:name w:val="Title"/>
    <w:basedOn w:val="1051"/>
    <w:next w:val="1062"/>
    <w:link w:val="1060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1060" w:customStyle="1">
    <w:name w:val="Название Знак"/>
    <w:basedOn w:val="1053"/>
    <w:link w:val="1059"/>
    <w:uiPriority w:val="99"/>
    <w:rPr>
      <w:rFonts w:ascii="Cambria" w:hAnsi="Cambria" w:cs="Times New Roman"/>
      <w:b/>
      <w:sz w:val="32"/>
      <w:lang w:eastAsia="en-US"/>
    </w:rPr>
  </w:style>
  <w:style w:type="paragraph" w:styleId="1061">
    <w:name w:val="List"/>
    <w:basedOn w:val="1062"/>
    <w:uiPriority w:val="99"/>
    <w:rPr>
      <w:rFonts w:cs="Lohit Devanagari"/>
    </w:rPr>
  </w:style>
  <w:style w:type="paragraph" w:styleId="1062">
    <w:name w:val="Body Text"/>
    <w:basedOn w:val="1051"/>
    <w:link w:val="1063"/>
    <w:uiPriority w:val="99"/>
    <w:pPr>
      <w:spacing w:after="140" w:line="288" w:lineRule="auto"/>
    </w:pPr>
  </w:style>
  <w:style w:type="character" w:styleId="1063" w:customStyle="1">
    <w:name w:val="Основной текст Знак"/>
    <w:basedOn w:val="1053"/>
    <w:link w:val="1062"/>
    <w:uiPriority w:val="99"/>
    <w:semiHidden/>
    <w:rPr>
      <w:rFonts w:cs="Times New Roman"/>
      <w:sz w:val="20"/>
      <w:lang w:eastAsia="en-US"/>
    </w:rPr>
  </w:style>
  <w:style w:type="paragraph" w:styleId="1064">
    <w:name w:val="Caption"/>
    <w:basedOn w:val="1051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065">
    <w:name w:val="index 1"/>
    <w:basedOn w:val="1051"/>
    <w:next w:val="1051"/>
    <w:uiPriority w:val="99"/>
    <w:semiHidden/>
    <w:pPr>
      <w:ind w:left="280" w:hanging="280"/>
    </w:pPr>
  </w:style>
  <w:style w:type="paragraph" w:styleId="1066">
    <w:name w:val="index heading"/>
    <w:basedOn w:val="1051"/>
    <w:uiPriority w:val="99"/>
    <w:pPr>
      <w:suppressLineNumbers/>
    </w:pPr>
    <w:rPr>
      <w:rFonts w:cs="Lohit Devanagari"/>
    </w:rPr>
  </w:style>
  <w:style w:type="paragraph" w:styleId="1067" w:customStyle="1">
    <w:name w:val="ConsPlusTitle"/>
    <w:pPr>
      <w:widowControl w:val="off"/>
    </w:pPr>
    <w:rPr>
      <w:b/>
      <w:sz w:val="28"/>
    </w:rPr>
  </w:style>
  <w:style w:type="paragraph" w:styleId="1068" w:customStyle="1">
    <w:name w:val="ConsPlusNormal"/>
    <w:pPr>
      <w:widowControl w:val="off"/>
    </w:pPr>
    <w:rPr>
      <w:sz w:val="28"/>
    </w:rPr>
  </w:style>
  <w:style w:type="paragraph" w:styleId="1069">
    <w:name w:val="Header"/>
    <w:basedOn w:val="1051"/>
    <w:link w:val="1070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070" w:customStyle="1">
    <w:name w:val="Верхний колонтитул Знак1"/>
    <w:link w:val="1069"/>
    <w:uiPriority w:val="99"/>
    <w:rPr>
      <w:sz w:val="24"/>
      <w:szCs w:val="24"/>
    </w:rPr>
  </w:style>
  <w:style w:type="character" w:styleId="1071" w:customStyle="1">
    <w:name w:val="Нижний колонтитул Знак21"/>
    <w:uiPriority w:val="99"/>
    <w:semiHidden/>
    <w:rPr>
      <w:sz w:val="28"/>
      <w:lang w:eastAsia="en-US"/>
    </w:rPr>
  </w:style>
  <w:style w:type="paragraph" w:styleId="1072">
    <w:name w:val="Footer"/>
    <w:basedOn w:val="1051"/>
    <w:link w:val="1073"/>
    <w:uiPriority w:val="99"/>
    <w:pPr>
      <w:tabs>
        <w:tab w:val="center" w:pos="4677" w:leader="none"/>
        <w:tab w:val="right" w:pos="9355" w:leader="none"/>
      </w:tabs>
    </w:pPr>
  </w:style>
  <w:style w:type="character" w:styleId="1073" w:customStyle="1">
    <w:name w:val="Нижний колонтитул Знак1"/>
    <w:basedOn w:val="1053"/>
    <w:link w:val="1072"/>
    <w:uiPriority w:val="99"/>
    <w:semiHidden/>
    <w:rPr>
      <w:rFonts w:cs="Times New Roman"/>
      <w:sz w:val="20"/>
      <w:lang w:eastAsia="en-US"/>
    </w:rPr>
  </w:style>
  <w:style w:type="paragraph" w:styleId="1074" w:customStyle="1">
    <w:name w:val="Содержимое таблицы"/>
    <w:basedOn w:val="1051"/>
    <w:uiPriority w:val="99"/>
  </w:style>
  <w:style w:type="character" w:styleId="1075">
    <w:name w:val="page number"/>
    <w:basedOn w:val="1053"/>
    <w:uiPriority w:val="99"/>
    <w:rPr>
      <w:rFonts w:cs="Times New Roman"/>
    </w:rPr>
  </w:style>
  <w:style w:type="paragraph" w:styleId="1076">
    <w:name w:val="Balloon Text"/>
    <w:basedOn w:val="1051"/>
    <w:link w:val="1077"/>
    <w:uiPriority w:val="99"/>
    <w:semiHidden/>
    <w:rPr>
      <w:rFonts w:ascii="Tahoma" w:hAnsi="Tahoma" w:cs="Tahoma"/>
      <w:sz w:val="16"/>
      <w:szCs w:val="16"/>
    </w:rPr>
  </w:style>
  <w:style w:type="character" w:styleId="1077" w:customStyle="1">
    <w:name w:val="Текст выноски Знак"/>
    <w:basedOn w:val="1053"/>
    <w:link w:val="1076"/>
    <w:uiPriority w:val="99"/>
    <w:semiHidden/>
    <w:rPr>
      <w:rFonts w:ascii="Tahoma" w:hAnsi="Tahoma" w:cs="Times New Roman"/>
      <w:sz w:val="16"/>
      <w:lang w:eastAsia="en-US"/>
    </w:rPr>
  </w:style>
  <w:style w:type="paragraph" w:styleId="1078">
    <w:name w:val="Document Map"/>
    <w:basedOn w:val="1051"/>
    <w:link w:val="1079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1079" w:customStyle="1">
    <w:name w:val="Схема документа Знак"/>
    <w:basedOn w:val="1053"/>
    <w:link w:val="1078"/>
    <w:uiPriority w:val="99"/>
    <w:semiHidden/>
    <w:rPr>
      <w:rFonts w:ascii="Tahoma" w:hAnsi="Tahoma" w:cs="Times New Roman"/>
      <w:sz w:val="16"/>
      <w:lang w:eastAsia="en-US"/>
    </w:rPr>
  </w:style>
  <w:style w:type="character" w:styleId="1080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1081">
    <w:name w:val="Intense Emphasis"/>
    <w:basedOn w:val="1053"/>
    <w:uiPriority w:val="21"/>
    <w:qFormat/>
    <w:rPr>
      <w:rFonts w:cs="Times New Roman"/>
      <w:i/>
      <w:color w:val="4f81bd"/>
    </w:rPr>
  </w:style>
  <w:style w:type="character" w:styleId="1082" w:customStyle="1">
    <w:name w:val="Заголовок 2 Знак"/>
    <w:basedOn w:val="1053"/>
    <w:link w:val="1052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1083">
    <w:name w:val="Body Text 2"/>
    <w:basedOn w:val="1051"/>
    <w:link w:val="1084"/>
    <w:uiPriority w:val="99"/>
    <w:unhideWhenUsed/>
    <w:pPr>
      <w:spacing w:after="120" w:line="480" w:lineRule="auto"/>
    </w:pPr>
  </w:style>
  <w:style w:type="character" w:styleId="1084" w:customStyle="1">
    <w:name w:val="Основной текст 2 Знак"/>
    <w:basedOn w:val="1053"/>
    <w:link w:val="1083"/>
    <w:uiPriority w:val="99"/>
    <w:rPr>
      <w:sz w:val="28"/>
      <w:lang w:eastAsia="en-US"/>
    </w:rPr>
  </w:style>
  <w:style w:type="paragraph" w:styleId="1085">
    <w:name w:val="List Paragraph"/>
    <w:basedOn w:val="1051"/>
    <w:uiPriority w:val="34"/>
    <w:qFormat/>
    <w:pPr>
      <w:contextualSpacing/>
      <w:ind w:left="720"/>
    </w:pPr>
  </w:style>
  <w:style w:type="table" w:styleId="1086">
    <w:name w:val="Table Grid"/>
    <w:basedOn w:val="105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consultantplus://offline/ref=9E21B56BB2B4639EB2725FD29D2631053A054AA5EEC82011ABB4E340BD0C06410DCB4B9B8243E2BE4CEF35wE2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414</cp:revision>
  <dcterms:created xsi:type="dcterms:W3CDTF">2022-05-17T01:14:00Z</dcterms:created>
  <dcterms:modified xsi:type="dcterms:W3CDTF">2024-01-28T23:53:54Z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